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spacing w:before="480"/>
        <w:jc w:val="center"/>
      </w:pPr>
      <w:r>
        <w:t>IDENTIDADE VISUAL  •  VERSÃO INICIAL PARA VALIDAÇÃO</w:t>
      </w:r>
    </w:p>
    <w:p>
      <w:pPr>
        <w:spacing w:after="400"/>
        <w:jc w:val="center"/>
      </w:pPr>
      <w:r>
        <w:drawing>
          <wp:inline xmlns:a="http://schemas.openxmlformats.org/drawingml/2006/main" xmlns:pic="http://schemas.openxmlformats.org/drawingml/2006/picture">
            <wp:extent cx="5394960" cy="1890896"/>
            <wp:docPr id="1" name="Picture 1" descr="Logotipo horizontal UniFUNVIC Soluçõ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horizont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890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Manual da Marca</w:t>
      </w:r>
    </w:p>
    <w:p>
      <w:pPr>
        <w:pStyle w:val="Subtitle"/>
        <w:jc w:val="center"/>
      </w:pPr>
      <w:r>
        <w:t>Diretrizes para uma presença clara, coerente e reconhecível</w:t>
      </w:r>
    </w:p>
    <w:p>
      <w:pPr>
        <w:spacing w:after="240"/>
        <w:jc w:val="center"/>
      </w:pPr>
      <w:r>
        <w:drawing>
          <wp:inline xmlns:a="http://schemas.openxmlformats.org/drawingml/2006/main" xmlns:pic="http://schemas.openxmlformats.org/drawingml/2006/picture">
            <wp:extent cx="5486400" cy="3657600"/>
            <wp:docPr id="2" name="Picture 2" descr="Aplicações da marca em caderno, garrafa, uniforme e camiset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mall"/>
        <w:jc w:val="center"/>
      </w:pPr>
      <w:r>
        <w:rPr>
          <w:b/>
          <w:color w:val="04295E"/>
        </w:rPr>
        <w:t>Inteligência  •  Tecnologia  •  Aprendizado</w:t>
      </w:r>
    </w:p>
    <w:p>
      <w:pPr>
        <w:pStyle w:val="Small"/>
        <w:jc w:val="center"/>
      </w:pPr>
      <w:r>
        <w:t>Setembro de 2026</w:t>
      </w:r>
    </w:p>
    <w:p>
      <w:r>
        <w:br w:type="page"/>
      </w:r>
    </w:p>
    <w:p>
      <w:pPr>
        <w:pStyle w:val="Kicker"/>
      </w:pPr>
      <w:r>
        <w:t>01  /  SISTEMA DE MARCA</w:t>
      </w:r>
    </w:p>
    <w:p>
      <w:pPr>
        <w:pStyle w:val="PageTitle"/>
      </w:pPr>
      <w:r>
        <w:t>Como usar este manual</w:t>
      </w:r>
    </w:p>
    <w:p>
      <w:pPr>
        <w:pStyle w:val="Subtitle"/>
      </w:pPr>
      <w:r>
        <w:t>Uma referência prática para comunicação, produção e aprovação de materiais.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9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</w:tblBorders>
      </w:tblPr>
      <w:tblGrid>
        <w:gridCol w:w="9360"/>
      </w:tblGrid>
      <w:tr>
        <w:tc>
          <w:tcPr>
            <w:tcW w:type="dxa" w:w="9360"/>
            <w:tcMar>
              <w:top w:w="150" w:type="dxa"/>
              <w:start w:w="190" w:type="dxa"/>
              <w:bottom w:w="150" w:type="dxa"/>
              <w:end w:w="190" w:type="dxa"/>
            </w:tcMar>
            <w:vAlign w:val="center"/>
            <w:shd w:fill="F2F4F7"/>
          </w:tcPr>
          <w:p>
            <w:pPr>
              <w:spacing w:after="60"/>
            </w:pPr>
            <w:r>
              <w:rPr>
                <w:rFonts w:ascii="Arial" w:hAnsi="Arial"/>
                <w:b/>
                <w:color w:val="CA0D28"/>
                <w:sz w:val="17"/>
              </w:rPr>
              <w:t>OBJETIVO</w:t>
            </w:r>
          </w:p>
          <w:p>
            <w:pPr>
              <w:spacing w:after="0"/>
            </w:pPr>
            <w:r>
              <w:rPr>
                <w:rFonts w:ascii="Arial" w:hAnsi="Arial"/>
                <w:color w:val="1F2530"/>
                <w:sz w:val="21"/>
              </w:rPr>
              <w:t>Preservar a integridade da marca UniFUNVIC Soluções em todos os pontos de contato, mantendo reconhecimento, legibilidade e consistência.</w:t>
            </w:r>
          </w:p>
        </w:tc>
      </w:tr>
    </w:tbl>
    <w:p>
      <w:pPr>
        <w:spacing w:after="0"/>
      </w:pPr>
    </w:p>
    <w:p>
      <w:pPr>
        <w:pStyle w:val="Heading2"/>
      </w:pPr>
      <w:r>
        <w:t>Conteúdo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DEE7"/>
          <w:left w:val="single" w:sz="5" w:space="0" w:color="D9DEE7"/>
          <w:bottom w:val="single" w:sz="5" w:space="0" w:color="D9DEE7"/>
          <w:right w:val="single" w:sz="5" w:space="0" w:color="D9DEE7"/>
          <w:insideH w:val="single" w:sz="5" w:space="0" w:color="D9DEE7"/>
          <w:insideV w:val="single" w:sz="5" w:space="0" w:color="D9DEE7"/>
        </w:tblBorders>
      </w:tblPr>
      <w:tblGrid>
        <w:gridCol w:w="900"/>
        <w:gridCol w:w="8460"/>
      </w:tblGrid>
      <w:tr>
        <w:trPr>
          <w:tblHeader w:val="true"/>
        </w:trP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SEÇÃO</w:t>
            </w:r>
          </w:p>
        </w:tc>
        <w:tc>
          <w:tcPr>
            <w:tcW w:type="dxa" w:w="8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CONTEÚDO</w:t>
            </w:r>
          </w:p>
        </w:tc>
      </w:tr>
      <w:tr>
        <w:tc>
          <w:tcPr>
            <w:tcW w:type="dxa" w:w="90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02</w:t>
            </w:r>
          </w:p>
        </w:tc>
        <w:tc>
          <w:tcPr>
            <w:tcW w:type="dxa" w:w="846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Plataforma e personalidade</w:t>
            </w:r>
          </w:p>
        </w:tc>
      </w:tr>
      <w:t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03</w:t>
            </w:r>
          </w:p>
        </w:tc>
        <w:tc>
          <w:tcPr>
            <w:tcW w:type="dxa" w:w="8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Sistema de assinatura</w:t>
            </w:r>
          </w:p>
        </w:tc>
      </w:tr>
      <w:tr>
        <w:tc>
          <w:tcPr>
            <w:tcW w:type="dxa" w:w="90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04</w:t>
            </w:r>
          </w:p>
        </w:tc>
        <w:tc>
          <w:tcPr>
            <w:tcW w:type="dxa" w:w="846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Proteção e redução</w:t>
            </w:r>
          </w:p>
        </w:tc>
      </w:tr>
      <w:t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05</w:t>
            </w:r>
          </w:p>
        </w:tc>
        <w:tc>
          <w:tcPr>
            <w:tcW w:type="dxa" w:w="8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Sistema cromático</w:t>
            </w:r>
          </w:p>
        </w:tc>
      </w:tr>
      <w:tr>
        <w:tc>
          <w:tcPr>
            <w:tcW w:type="dxa" w:w="90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06</w:t>
            </w:r>
          </w:p>
        </w:tc>
        <w:tc>
          <w:tcPr>
            <w:tcW w:type="dxa" w:w="846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Tipografia</w:t>
            </w:r>
          </w:p>
        </w:tc>
      </w:tr>
      <w:t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07</w:t>
            </w:r>
          </w:p>
        </w:tc>
        <w:tc>
          <w:tcPr>
            <w:tcW w:type="dxa" w:w="8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Linguagem visual</w:t>
            </w:r>
          </w:p>
        </w:tc>
      </w:tr>
      <w:tr>
        <w:tc>
          <w:tcPr>
            <w:tcW w:type="dxa" w:w="90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08</w:t>
            </w:r>
          </w:p>
        </w:tc>
        <w:tc>
          <w:tcPr>
            <w:tcW w:type="dxa" w:w="846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Fundos e contraste</w:t>
            </w:r>
          </w:p>
        </w:tc>
      </w:tr>
      <w:t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09</w:t>
            </w:r>
          </w:p>
        </w:tc>
        <w:tc>
          <w:tcPr>
            <w:tcW w:type="dxa" w:w="8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Usos corretos e incorretos</w:t>
            </w:r>
          </w:p>
        </w:tc>
      </w:tr>
      <w:tr>
        <w:tc>
          <w:tcPr>
            <w:tcW w:type="dxa" w:w="90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10</w:t>
            </w:r>
          </w:p>
        </w:tc>
        <w:tc>
          <w:tcPr>
            <w:tcW w:type="dxa" w:w="846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Aplicações</w:t>
            </w:r>
          </w:p>
        </w:tc>
      </w:tr>
      <w:tr>
        <w:tc>
          <w:tcPr>
            <w:tcW w:type="dxa" w:w="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11</w:t>
            </w:r>
          </w:p>
        </w:tc>
        <w:tc>
          <w:tcPr>
            <w:tcW w:type="dxa" w:w="8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Uso digital</w:t>
            </w:r>
          </w:p>
        </w:tc>
      </w:tr>
      <w:tr>
        <w:tc>
          <w:tcPr>
            <w:tcW w:type="dxa" w:w="90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12</w:t>
            </w:r>
          </w:p>
        </w:tc>
        <w:tc>
          <w:tcPr>
            <w:tcW w:type="dxa" w:w="846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Governança</w:t>
            </w:r>
          </w:p>
        </w:tc>
      </w:tr>
      <w:tr>
        <w:tc>
          <w:tcPr>
            <w:tcW w:type="dxa" w:w="90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13</w:t>
            </w:r>
          </w:p>
        </w:tc>
        <w:tc>
          <w:tcPr>
            <w:tcW w:type="dxa" w:w="846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Assinaturas institucionais de e-mail</w:t>
            </w:r>
          </w:p>
        </w:tc>
      </w:tr>
      <w:tr>
        <w:tc>
          <w:tcPr>
            <w:tcW w:type="dxa" w:w="90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14</w:t>
            </w:r>
          </w:p>
        </w:tc>
        <w:tc>
          <w:tcPr>
            <w:tcW w:type="dxa" w:w="846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Assinatura compacta e configuração</w:t>
            </w:r>
          </w:p>
        </w:tc>
      </w:tr>
      <w:tr>
        <w:tc>
          <w:tcPr>
            <w:tcW w:type="dxa" w:w="90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15</w:t>
            </w:r>
          </w:p>
        </w:tc>
        <w:tc>
          <w:tcPr>
            <w:tcW w:type="dxa" w:w="846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Papel de parede — claro</w:t>
            </w:r>
          </w:p>
        </w:tc>
      </w:tr>
      <w:tr>
        <w:tc>
          <w:tcPr>
            <w:tcW w:type="dxa" w:w="90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04295E"/>
                <w:sz w:val="18"/>
              </w:rPr>
              <w:t>16</w:t>
            </w:r>
          </w:p>
        </w:tc>
        <w:tc>
          <w:tcPr>
            <w:tcW w:type="dxa" w:w="8460"/>
            <w:shd w:fill="F8F9FB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1F2530"/>
                <w:sz w:val="18"/>
              </w:rPr>
              <w:t>Papel de parede — azul-marinho</w:t>
            </w:r>
          </w:p>
        </w:tc>
      </w:tr>
    </w:tbl>
    <w:p>
      <w:pPr>
        <w:pStyle w:val="Heading3"/>
      </w:pPr>
      <w:r>
        <w:t>Escopo desta versão</w:t>
      </w:r>
    </w:p>
    <w:p>
      <w:r>
        <w:t>Este manual foi elaborado a partir do logotipo e dos mockups fornecidos. As referências apresentam variações de acabamento e de posicionamento dos pontos. O arquivo horizontal em alta resolução é a base principal; a versão compacta deve ser harmonizada. Tipografia de apoio e valores de impressão são recomendações para validação.</w:t>
      </w:r>
    </w:p>
    <w:p>
      <w:r>
        <w:br w:type="page"/>
      </w:r>
    </w:p>
    <w:p>
      <w:pPr>
        <w:pStyle w:val="Kicker"/>
      </w:pPr>
      <w:r>
        <w:t>02  /  SISTEMA DE MARCA</w:t>
      </w:r>
    </w:p>
    <w:p>
      <w:pPr>
        <w:pStyle w:val="PageTitle"/>
      </w:pPr>
      <w:r>
        <w:t>Plataforma e personalidade</w:t>
      </w:r>
    </w:p>
    <w:p>
      <w:pPr>
        <w:pStyle w:val="Subtitle"/>
      </w:pPr>
      <w:r>
        <w:t>Uma leitura estratégica da assinatura e do lema institucional.</w:t>
      </w:r>
    </w:p>
    <w:p>
      <w:r>
        <w:t>A marca combina uma base institucional sólida com movimento e transformação. O azul comunica confiança e tecnologia; o vermelho introduz energia, iniciativa e proximidade. A curva branca central cria fluxo e conecta os dois universos.</w:t>
      </w:r>
    </w:p>
    <w:p>
      <w:pPr>
        <w:pStyle w:val="Heading2"/>
      </w:pPr>
      <w:r>
        <w:t>Promessa de marca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9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</w:tblBorders>
      </w:tblPr>
      <w:tblGrid>
        <w:gridCol w:w="9360"/>
      </w:tblGrid>
      <w:tr>
        <w:tc>
          <w:tcPr>
            <w:tcW w:type="dxa" w:w="9360"/>
            <w:tcMar>
              <w:top w:w="150" w:type="dxa"/>
              <w:start w:w="190" w:type="dxa"/>
              <w:bottom w:w="150" w:type="dxa"/>
              <w:end w:w="190" w:type="dxa"/>
            </w:tcMar>
            <w:vAlign w:val="center"/>
            <w:shd w:fill="EEF3F8"/>
          </w:tcPr>
          <w:p>
            <w:pPr>
              <w:spacing w:after="60"/>
            </w:pPr>
            <w:r>
              <w:rPr>
                <w:rFonts w:ascii="Arial" w:hAnsi="Arial"/>
                <w:b/>
                <w:color w:val="0E5B9E"/>
                <w:sz w:val="17"/>
              </w:rPr>
              <w:t>PROPOSTA PARA VALIDAÇÃO</w:t>
            </w:r>
          </w:p>
          <w:p>
            <w:pPr>
              <w:spacing w:after="0"/>
            </w:pPr>
            <w:r>
              <w:rPr>
                <w:rFonts w:ascii="Arial" w:hAnsi="Arial"/>
                <w:color w:val="1F2530"/>
                <w:sz w:val="21"/>
              </w:rPr>
              <w:t>Transformar conhecimento e tecnologia em soluções aplicáveis, capazes de ampliar possibilidades de aprendizagem e desenvolvimento.</w:t>
            </w:r>
          </w:p>
        </w:tc>
      </w:tr>
    </w:tbl>
    <w:p>
      <w:pPr>
        <w:spacing w:after="0"/>
      </w:pPr>
    </w:p>
    <w:p>
      <w:pPr>
        <w:pStyle w:val="Heading2"/>
      </w:pPr>
      <w:r>
        <w:t>Pilares de expressão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INTELIGÊNCIA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E5B9E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TECNOLOGIA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CA0D28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APRENDIZADO</w:t>
            </w:r>
          </w:p>
        </w:tc>
      </w:tr>
      <w:tr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1F2530"/>
                <w:sz w:val="19"/>
              </w:rPr>
              <w:t>Clareza, análise e decisões orientadas por conhecimento.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1F2530"/>
                <w:sz w:val="19"/>
              </w:rPr>
              <w:t>Inovação com utilidade, segurança e visão de futuro.</w:t>
            </w:r>
          </w:p>
        </w:tc>
        <w:tc>
          <w:tcPr>
            <w:tcW w:type="dxa" w:w="31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1F2530"/>
                <w:sz w:val="19"/>
              </w:rPr>
              <w:t>Evolução contínua, troca e desenvolvimento humano.</w:t>
            </w:r>
          </w:p>
        </w:tc>
      </w:tr>
    </w:tbl>
    <w:p>
      <w:pPr>
        <w:pStyle w:val="Heading2"/>
      </w:pPr>
      <w:r>
        <w:t>Tom de voz</w:t>
      </w:r>
    </w:p>
    <w:p>
      <w:pPr>
        <w:numPr>
          <w:ilvl w:val="0"/>
          <w:numId w:val="10"/>
        </w:numPr>
      </w:pPr>
      <w:r>
        <w:t>Claro: explicar assuntos complexos com linguagem direta e organizada.</w:t>
      </w:r>
    </w:p>
    <w:p>
      <w:pPr>
        <w:numPr>
          <w:ilvl w:val="0"/>
          <w:numId w:val="10"/>
        </w:numPr>
      </w:pPr>
      <w:r>
        <w:t>Confiável: sustentar afirmações com contexto, dados e responsabilidade.</w:t>
      </w:r>
    </w:p>
    <w:p>
      <w:pPr>
        <w:numPr>
          <w:ilvl w:val="0"/>
          <w:numId w:val="10"/>
        </w:numPr>
      </w:pPr>
      <w:r>
        <w:t>Próximo: valorizar pessoas e resultados práticos, sem perder o rigor institucional.</w:t>
      </w:r>
    </w:p>
    <w:p>
      <w:pPr>
        <w:numPr>
          <w:ilvl w:val="0"/>
          <w:numId w:val="10"/>
        </w:numPr>
      </w:pPr>
      <w:r>
        <w:t>Construtivo: comunicar possibilidades, caminhos e aprendizado contínuo.</w:t>
      </w:r>
    </w:p>
    <w:p>
      <w:r>
        <w:t>Evitar jargões desnecessários, promessas absolutas, excesso de informalidade e linguagem que pareça fria ou inacessível.</w:t>
      </w:r>
    </w:p>
    <w:p>
      <w:r>
        <w:br w:type="page"/>
      </w:r>
    </w:p>
    <w:p>
      <w:pPr>
        <w:pStyle w:val="Kicker"/>
      </w:pPr>
      <w:r>
        <w:t>03  /  SISTEMA DE MARCA</w:t>
      </w:r>
    </w:p>
    <w:p>
      <w:pPr>
        <w:pStyle w:val="PageTitle"/>
      </w:pPr>
      <w:r>
        <w:t>Sistema de assinatura</w:t>
      </w:r>
    </w:p>
    <w:p>
      <w:pPr>
        <w:pStyle w:val="Subtitle"/>
      </w:pPr>
      <w:r>
        <w:t>As versões da marca atendem diferentes espaços sem perder identidade.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DEE7"/>
          <w:left w:val="single" w:sz="5" w:space="0" w:color="D9DEE7"/>
          <w:bottom w:val="single" w:sz="5" w:space="0" w:color="D9DEE7"/>
          <w:right w:val="single" w:sz="5" w:space="0" w:color="D9DEE7"/>
          <w:insideH w:val="single" w:sz="5" w:space="0" w:color="D9DEE7"/>
          <w:insideV w:val="single" w:sz="5" w:space="0" w:color="D9DEE7"/>
        </w:tblBorders>
      </w:tblPr>
      <w:tblGrid>
        <w:gridCol w:w="3900"/>
        <w:gridCol w:w="2730"/>
        <w:gridCol w:w="2730"/>
      </w:tblGrid>
      <w:tr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AFBFC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48840" cy="753154"/>
                  <wp:docPr id="3" name="Picture 3" descr="Assinatura principal horizontal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horizonta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7531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AFBFC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7320" cy="1752249"/>
                  <wp:docPr id="4" name="Picture 4" descr="Referência de assinatura compacta vertical a harmonizar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compac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7522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AFBFC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4440" cy="1522929"/>
                  <wp:docPr id="5" name="Picture 5" descr="Símbolo isolado derivado do arquivo principal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mbol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15229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CA0D28"/>
                <w:sz w:val="17"/>
              </w:rPr>
              <w:t>PRINCIPAL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1F2530"/>
                <w:sz w:val="18"/>
              </w:rPr>
              <w:t>Prioritária em documentos, fachadas, apresentações e peças com largura disponível.</w:t>
            </w:r>
          </w:p>
        </w:tc>
        <w:tc>
          <w:tcPr>
            <w:tcW w:type="dxa" w:w="27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CA0D28"/>
                <w:sz w:val="17"/>
              </w:rPr>
              <w:t>COMPACTA — REFERÊNCIA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1F2530"/>
                <w:sz w:val="18"/>
              </w:rPr>
              <w:t>Indicada para formatos quadrados. Requer harmonização com o arquivo mestre antes de uso.</w:t>
            </w:r>
          </w:p>
        </w:tc>
        <w:tc>
          <w:tcPr>
            <w:tcW w:type="dxa" w:w="27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CA0D28"/>
                <w:sz w:val="17"/>
              </w:rPr>
              <w:t>SÍMBOLO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1F2530"/>
                <w:sz w:val="18"/>
              </w:rPr>
              <w:t>Derivado do arquivo principal. Usar quando a marca já estiver identificada ou o espaço for reduzido.</w:t>
            </w:r>
          </w:p>
        </w:tc>
      </w:tr>
    </w:tbl>
    <w:p>
      <w:pPr>
        <w:pStyle w:val="Heading2"/>
      </w:pPr>
      <w:r>
        <w:t>Hierarquia e nomenclatura</w:t>
      </w:r>
    </w:p>
    <w:p>
      <w:pPr>
        <w:numPr>
          <w:ilvl w:val="0"/>
          <w:numId w:val="10"/>
        </w:numPr>
      </w:pPr>
      <w:r>
        <w:t>O nome institucional deve ser grafado como “UniFUNVIC Soluções”, preservando a capitalização exibida no logotipo.</w:t>
      </w:r>
    </w:p>
    <w:p>
      <w:pPr>
        <w:numPr>
          <w:ilvl w:val="0"/>
          <w:numId w:val="10"/>
        </w:numPr>
      </w:pPr>
      <w:r>
        <w:t>O lema “Inteligência • Tecnologia • Aprendizado” acompanha a assinatura apenas quando houver legibilidade suficiente.</w:t>
      </w:r>
    </w:p>
    <w:p>
      <w:pPr>
        <w:numPr>
          <w:ilvl w:val="0"/>
          <w:numId w:val="10"/>
        </w:numPr>
      </w:pPr>
      <w:r>
        <w:t>O lettering do logotipo é desenho de marca: não deve ser recomposto com fontes de sistema.</w:t>
      </w:r>
    </w:p>
    <w:p>
      <w:pPr>
        <w:numPr>
          <w:ilvl w:val="0"/>
          <w:numId w:val="10"/>
        </w:numPr>
      </w:pPr>
      <w:r>
        <w:t>Não separar “UniFUNVIC” de “Soluções” para criar novas assinaturas.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9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</w:tblBorders>
      </w:tblPr>
      <w:tblGrid>
        <w:gridCol w:w="9360"/>
      </w:tblGrid>
      <w:tr>
        <w:tc>
          <w:tcPr>
            <w:tcW w:type="dxa" w:w="9360"/>
            <w:tcMar>
              <w:top w:w="150" w:type="dxa"/>
              <w:start w:w="190" w:type="dxa"/>
              <w:bottom w:w="150" w:type="dxa"/>
              <w:end w:w="190" w:type="dxa"/>
            </w:tcMar>
            <w:vAlign w:val="center"/>
            <w:shd w:fill="F2F4F7"/>
          </w:tcPr>
          <w:p>
            <w:pPr>
              <w:spacing w:after="60"/>
            </w:pPr>
            <w:r>
              <w:rPr>
                <w:rFonts w:ascii="Arial" w:hAnsi="Arial"/>
                <w:b/>
                <w:color w:val="CA0D28"/>
                <w:sz w:val="17"/>
              </w:rPr>
              <w:t>ARQUIVO MESTRE</w:t>
            </w:r>
          </w:p>
          <w:p>
            <w:pPr>
              <w:spacing w:after="0"/>
            </w:pPr>
            <w:r>
              <w:rPr>
                <w:rFonts w:ascii="Arial" w:hAnsi="Arial"/>
                <w:color w:val="1F2530"/>
                <w:sz w:val="21"/>
              </w:rPr>
              <w:t>Padronize todas as versões a partir do mesmo vetor aprovado. Para produção, priorize SVG, PDF vetorial ou EPS; use PNG transparente no digital e JPG apenas sobre branco.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Kicker"/>
      </w:pPr>
      <w:r>
        <w:t>04  /  SISTEMA DE MARCA</w:t>
      </w:r>
    </w:p>
    <w:p>
      <w:pPr>
        <w:pStyle w:val="PageTitle"/>
      </w:pPr>
      <w:r>
        <w:t>Proteção e redução</w:t>
      </w:r>
    </w:p>
    <w:p>
      <w:pPr>
        <w:pStyle w:val="Subtitle"/>
      </w:pPr>
      <w:r>
        <w:t>Respiro, escala e legibilidade mantêm a assinatura íntegra.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715000" cy="2714625"/>
            <wp:docPr id="6" name="Picture 6" descr="Diagrama da área de proteção da assinatura horizonta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ear_spac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714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Módulo x = 1/4 da altura total do símbolo, incluindo os pontos.</w:t>
      </w:r>
    </w:p>
    <w:p>
      <w:pPr>
        <w:pStyle w:val="Heading2"/>
      </w:pPr>
      <w:r>
        <w:t>Área de proteção</w:t>
      </w:r>
    </w:p>
    <w:p>
      <w:r>
        <w:t>Mantenha uma margem mínima de 1× em todos os lados. Nenhum texto, fotografia, linha, borda ou outra marca deve invadir essa área. Em peças muito carregadas, aumente o respiro para 1,5×.</w:t>
      </w:r>
    </w:p>
    <w:p>
      <w:pPr>
        <w:pStyle w:val="Heading2"/>
      </w:pPr>
      <w:r>
        <w:t>Tamanhos mínimos recomendados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3000"/>
        <w:gridCol w:w="3000"/>
        <w:gridCol w:w="3360"/>
      </w:tblGrid>
      <w:tr>
        <w:trPr>
          <w:tblHeader w:val="true"/>
        </w:trPr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6"/>
              </w:rPr>
              <w:t>VERSÃO</w:t>
            </w:r>
          </w:p>
        </w:tc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IMPRESSO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DIGITAL</w:t>
            </w:r>
          </w:p>
        </w:tc>
      </w:tr>
      <w:tr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F2530"/>
                <w:sz w:val="17"/>
              </w:rPr>
              <w:t>Horizontal com lema</w:t>
            </w:r>
          </w:p>
        </w:tc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1F2530"/>
                <w:sz w:val="17"/>
              </w:rPr>
              <w:t>45 mm de largura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1F2530"/>
                <w:sz w:val="17"/>
              </w:rPr>
              <w:t>260 px de largura</w:t>
            </w:r>
          </w:p>
        </w:tc>
      </w:tr>
      <w:tr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F2530"/>
                <w:sz w:val="17"/>
              </w:rPr>
              <w:t>Compacta sem lema</w:t>
            </w:r>
          </w:p>
        </w:tc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1F2530"/>
                <w:sz w:val="17"/>
              </w:rPr>
              <w:t>25 mm de largura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1F2530"/>
                <w:sz w:val="17"/>
              </w:rPr>
              <w:t>140 px de largura</w:t>
            </w:r>
          </w:p>
        </w:tc>
      </w:tr>
      <w:tr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F2530"/>
                <w:sz w:val="17"/>
              </w:rPr>
              <w:t>Símbolo isolado</w:t>
            </w:r>
          </w:p>
        </w:tc>
        <w:tc>
          <w:tcPr>
            <w:tcW w:type="dxa" w:w="3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1F2530"/>
                <w:sz w:val="17"/>
              </w:rPr>
              <w:t>10 mm de largura</w:t>
            </w:r>
          </w:p>
        </w:tc>
        <w:tc>
          <w:tcPr>
            <w:tcW w:type="dxa" w:w="3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 w:val="0"/>
                <w:color w:val="1F2530"/>
                <w:sz w:val="17"/>
              </w:rPr>
              <w:t>32 px de largura</w:t>
            </w:r>
          </w:p>
        </w:tc>
      </w:tr>
    </w:tbl>
    <w:p>
      <w:r>
        <w:t>Os mínimos são pontos de partida. Se o lema perder nitidez, utilize a assinatura sem lema ou aumente a marca. Sempre realize prova no tamanho final.</w:t>
      </w:r>
    </w:p>
    <w:p>
      <w:r>
        <w:br w:type="page"/>
      </w:r>
    </w:p>
    <w:p>
      <w:pPr>
        <w:pStyle w:val="Kicker"/>
      </w:pPr>
      <w:r>
        <w:t>05  /  SISTEMA DE MARCA</w:t>
      </w:r>
    </w:p>
    <w:p>
      <w:pPr>
        <w:pStyle w:val="PageTitle"/>
      </w:pPr>
      <w:r>
        <w:t>Sistema cromático</w:t>
      </w:r>
    </w:p>
    <w:p>
      <w:pPr>
        <w:pStyle w:val="Subtitle"/>
      </w:pPr>
      <w:r>
        <w:t>Azul e vermelho constroem reconhecimento; branco e cinza organizam a informação.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06440" cy="1524190"/>
            <wp:docPr id="7" name="Picture 7" descr="Paleta cromática principal da UniFUNVIC Soluçõ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lett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524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Cores de referência extraídas do arquivo PNG fornecido.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2350"/>
        <w:gridCol w:w="1750"/>
        <w:gridCol w:w="2050"/>
        <w:gridCol w:w="1850"/>
        <w:gridCol w:w="1360"/>
      </w:tblGrid>
      <w:tr>
        <w:trPr>
          <w:tblHeader w:val="true"/>
        </w:trPr>
        <w:tc>
          <w:tcPr>
            <w:tcW w:type="dxa" w:w="23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COR</w:t>
            </w:r>
          </w:p>
        </w:tc>
        <w:tc>
          <w:tcPr>
            <w:tcW w:type="dxa" w:w="17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HEX</w:t>
            </w:r>
          </w:p>
        </w:tc>
        <w:tc>
          <w:tcPr>
            <w:tcW w:type="dxa" w:w="2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RGB</w:t>
            </w:r>
          </w:p>
        </w:tc>
        <w:tc>
          <w:tcPr>
            <w:tcW w:type="dxa" w:w="18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CMYK*</w:t>
            </w:r>
          </w:p>
        </w:tc>
        <w:tc>
          <w:tcPr>
            <w:tcW w:type="dxa" w:w="1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USO</w:t>
            </w:r>
          </w:p>
        </w:tc>
      </w:tr>
      <w:tr>
        <w:tc>
          <w:tcPr>
            <w:tcW w:type="dxa" w:w="23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F2530"/>
                <w:sz w:val="16"/>
              </w:rPr>
              <w:t>Azul institucional</w:t>
            </w:r>
          </w:p>
        </w:tc>
        <w:tc>
          <w:tcPr>
            <w:tcW w:type="dxa" w:w="17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#04295E</w:t>
            </w:r>
          </w:p>
        </w:tc>
        <w:tc>
          <w:tcPr>
            <w:tcW w:type="dxa" w:w="2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4 / 41 / 94</w:t>
            </w:r>
          </w:p>
        </w:tc>
        <w:tc>
          <w:tcPr>
            <w:tcW w:type="dxa" w:w="18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96 / 56 / 0 / 63</w:t>
            </w:r>
          </w:p>
        </w:tc>
        <w:tc>
          <w:tcPr>
            <w:tcW w:type="dxa" w:w="1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Texto e fundos</w:t>
            </w:r>
          </w:p>
        </w:tc>
      </w:tr>
      <w:tr>
        <w:tc>
          <w:tcPr>
            <w:tcW w:type="dxa" w:w="23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F2530"/>
                <w:sz w:val="16"/>
              </w:rPr>
              <w:t>Azul de apoio</w:t>
            </w:r>
          </w:p>
        </w:tc>
        <w:tc>
          <w:tcPr>
            <w:tcW w:type="dxa" w:w="17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#0E5B9E</w:t>
            </w:r>
          </w:p>
        </w:tc>
        <w:tc>
          <w:tcPr>
            <w:tcW w:type="dxa" w:w="2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14 / 91 / 158</w:t>
            </w:r>
          </w:p>
        </w:tc>
        <w:tc>
          <w:tcPr>
            <w:tcW w:type="dxa" w:w="18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91 / 42 / 0 / 38</w:t>
            </w:r>
          </w:p>
        </w:tc>
        <w:tc>
          <w:tcPr>
            <w:tcW w:type="dxa" w:w="1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Símbolo e destaque</w:t>
            </w:r>
          </w:p>
        </w:tc>
      </w:tr>
      <w:tr>
        <w:tc>
          <w:tcPr>
            <w:tcW w:type="dxa" w:w="23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F2530"/>
                <w:sz w:val="16"/>
              </w:rPr>
              <w:t>Vermelho institucional</w:t>
            </w:r>
          </w:p>
        </w:tc>
        <w:tc>
          <w:tcPr>
            <w:tcW w:type="dxa" w:w="17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#CA0D28</w:t>
            </w:r>
          </w:p>
        </w:tc>
        <w:tc>
          <w:tcPr>
            <w:tcW w:type="dxa" w:w="2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202 / 13 / 40</w:t>
            </w:r>
          </w:p>
        </w:tc>
        <w:tc>
          <w:tcPr>
            <w:tcW w:type="dxa" w:w="18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0 / 94 / 80 / 21</w:t>
            </w:r>
          </w:p>
        </w:tc>
        <w:tc>
          <w:tcPr>
            <w:tcW w:type="dxa" w:w="1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Acentos e Soluções</w:t>
            </w:r>
          </w:p>
        </w:tc>
      </w:tr>
      <w:tr>
        <w:tc>
          <w:tcPr>
            <w:tcW w:type="dxa" w:w="23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F2530"/>
                <w:sz w:val="16"/>
              </w:rPr>
              <w:t>Cinza neutro</w:t>
            </w:r>
          </w:p>
        </w:tc>
        <w:tc>
          <w:tcPr>
            <w:tcW w:type="dxa" w:w="17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#5E5E61</w:t>
            </w:r>
          </w:p>
        </w:tc>
        <w:tc>
          <w:tcPr>
            <w:tcW w:type="dxa" w:w="20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94 / 94 / 97</w:t>
            </w:r>
          </w:p>
        </w:tc>
        <w:tc>
          <w:tcPr>
            <w:tcW w:type="dxa" w:w="18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3 / 3 / 0 / 62</w:t>
            </w:r>
          </w:p>
        </w:tc>
        <w:tc>
          <w:tcPr>
            <w:tcW w:type="dxa" w:w="1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F2530"/>
                <w:sz w:val="16"/>
              </w:rPr>
              <w:t>Texto secundário</w:t>
            </w:r>
          </w:p>
        </w:tc>
      </w:tr>
    </w:tbl>
    <w:p>
      <w:pPr>
        <w:pStyle w:val="Heading2"/>
      </w:pPr>
      <w:r>
        <w:t>Proporção recomendada</w:t>
      </w:r>
    </w:p>
    <w:p>
      <w:pPr>
        <w:numPr>
          <w:ilvl w:val="0"/>
          <w:numId w:val="10"/>
        </w:numPr>
      </w:pPr>
      <w:r>
        <w:t>60% branco ou tons muito claros para garantir respiro.</w:t>
      </w:r>
    </w:p>
    <w:p>
      <w:pPr>
        <w:numPr>
          <w:ilvl w:val="0"/>
          <w:numId w:val="10"/>
        </w:numPr>
      </w:pPr>
      <w:r>
        <w:t>25% azul institucional para estrutura, títulos e grandes áreas.</w:t>
      </w:r>
    </w:p>
    <w:p>
      <w:pPr>
        <w:numPr>
          <w:ilvl w:val="0"/>
          <w:numId w:val="10"/>
        </w:numPr>
      </w:pPr>
      <w:r>
        <w:t>10% azul de apoio e 5% vermelho para contraste e chamadas pontuais.</w:t>
      </w:r>
    </w:p>
    <w:p>
      <w:r>
        <w:t>*Os valores CMYK são conversões aproximadas. Defina Pantone e perfil ICC em prova gráfica antes de impressão institucional recorrente.</w:t>
      </w:r>
    </w:p>
    <w:p>
      <w:r>
        <w:br w:type="page"/>
      </w:r>
    </w:p>
    <w:p>
      <w:pPr>
        <w:pStyle w:val="Kicker"/>
      </w:pPr>
      <w:r>
        <w:t>06  /  SISTEMA DE MARCA</w:t>
      </w:r>
    </w:p>
    <w:p>
      <w:pPr>
        <w:pStyle w:val="PageTitle"/>
      </w:pPr>
      <w:r>
        <w:t>Tipografia</w:t>
      </w:r>
    </w:p>
    <w:p>
      <w:pPr>
        <w:pStyle w:val="Subtitle"/>
      </w:pPr>
      <w:r>
        <w:t>A tipografia de apoio deve ser simples, contemporânea e altamente legível.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9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</w:tblBorders>
      </w:tblPr>
      <w:tblGrid>
        <w:gridCol w:w="9360"/>
      </w:tblGrid>
      <w:tr>
        <w:tc>
          <w:tcPr>
            <w:tcW w:type="dxa" w:w="9360"/>
            <w:tcMar>
              <w:top w:w="150" w:type="dxa"/>
              <w:start w:w="190" w:type="dxa"/>
              <w:bottom w:w="150" w:type="dxa"/>
              <w:end w:w="190" w:type="dxa"/>
            </w:tcMar>
            <w:vAlign w:val="center"/>
            <w:shd w:fill="F2F4F7"/>
          </w:tcPr>
          <w:p>
            <w:pPr>
              <w:spacing w:after="60"/>
            </w:pPr>
            <w:r>
              <w:rPr>
                <w:rFonts w:ascii="Arial" w:hAnsi="Arial"/>
                <w:b/>
                <w:color w:val="CA0D28"/>
                <w:sz w:val="17"/>
              </w:rPr>
              <w:t>IMPORTANTE</w:t>
            </w:r>
          </w:p>
          <w:p>
            <w:pPr>
              <w:spacing w:after="0"/>
            </w:pPr>
            <w:r>
              <w:rPr>
                <w:rFonts w:ascii="Arial" w:hAnsi="Arial"/>
                <w:color w:val="1F2530"/>
                <w:sz w:val="21"/>
              </w:rPr>
              <w:t>O lettering da assinatura é parte inseparável do arquivo de marca. Nunca tente recriá-lo digitando “UniFUNVIC Soluções”.</w:t>
            </w:r>
          </w:p>
        </w:tc>
      </w:tr>
    </w:tbl>
    <w:p>
      <w:pPr>
        <w:spacing w:after="0"/>
      </w:pPr>
    </w:p>
    <w:p>
      <w:pPr>
        <w:pStyle w:val="Heading2"/>
      </w:pPr>
      <w:r>
        <w:t>Família recomendada para comunicação</w:t>
      </w:r>
    </w:p>
    <w:p>
      <w:pPr>
        <w:spacing w:after="40"/>
      </w:pPr>
      <w:r>
        <w:rPr>
          <w:rFonts w:ascii="Arial" w:hAnsi="Arial"/>
          <w:b/>
          <w:color w:val="04295E"/>
          <w:sz w:val="48"/>
        </w:rPr>
        <w:t>Arial Bold</w:t>
      </w:r>
    </w:p>
    <w:p>
      <w:pPr>
        <w:pStyle w:val="Small"/>
      </w:pPr>
      <w:r>
        <w:t>Títulos, dados-chave e chamadas</w:t>
      </w:r>
    </w:p>
    <w:p>
      <w:pPr>
        <w:spacing w:after="40"/>
      </w:pPr>
      <w:r>
        <w:rPr>
          <w:rFonts w:ascii="Arial" w:hAnsi="Arial"/>
          <w:color w:val="0E5B9E"/>
          <w:sz w:val="38"/>
        </w:rPr>
        <w:t>Arial Regular</w:t>
      </w:r>
    </w:p>
    <w:p>
      <w:pPr>
        <w:pStyle w:val="Small"/>
      </w:pPr>
      <w:r>
        <w:t>Textos corridos, legendas e conteúdos digitais</w:t>
      </w:r>
    </w:p>
    <w:p>
      <w:pPr>
        <w:pStyle w:val="Heading2"/>
      </w:pPr>
      <w:r>
        <w:t>Hierarquia sugerida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2150"/>
        <w:gridCol w:w="2950"/>
        <w:gridCol w:w="4260"/>
      </w:tblGrid>
      <w:tr>
        <w:trPr>
          <w:tblHeader w:val="true"/>
        </w:trPr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NÍVEL</w:t>
            </w:r>
          </w:p>
        </w:tc>
        <w:tc>
          <w:tcPr>
            <w:tcW w:type="dxa" w:w="29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CONFIGURAÇÃO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EXEMPLO</w:t>
            </w:r>
          </w:p>
        </w:tc>
      </w:tr>
      <w:tr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1F2530"/>
                <w:sz w:val="17"/>
              </w:rPr>
              <w:t>Título principal</w:t>
            </w:r>
          </w:p>
        </w:tc>
        <w:tc>
          <w:tcPr>
            <w:tcW w:type="dxa" w:w="29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Arial Bold • 28–36 pt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Soluções que ampliam possibilidades</w:t>
            </w:r>
          </w:p>
        </w:tc>
      </w:tr>
      <w:tr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1F2530"/>
                <w:sz w:val="17"/>
              </w:rPr>
              <w:t>Título de seção</w:t>
            </w:r>
          </w:p>
        </w:tc>
        <w:tc>
          <w:tcPr>
            <w:tcW w:type="dxa" w:w="29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Arial Bold • 16–22 pt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Tecnologia com propósito</w:t>
            </w:r>
          </w:p>
        </w:tc>
      </w:tr>
      <w:tr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1F2530"/>
                <w:sz w:val="17"/>
              </w:rPr>
              <w:t>Subtítulo</w:t>
            </w:r>
          </w:p>
        </w:tc>
        <w:tc>
          <w:tcPr>
            <w:tcW w:type="dxa" w:w="29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Arial Bold • 11–14 pt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Conhecimento aplicado</w:t>
            </w:r>
          </w:p>
        </w:tc>
      </w:tr>
      <w:tr>
        <w:tc>
          <w:tcPr>
            <w:tcW w:type="dxa" w:w="21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1F2530"/>
                <w:sz w:val="17"/>
              </w:rPr>
              <w:t>Corpo</w:t>
            </w:r>
          </w:p>
        </w:tc>
        <w:tc>
          <w:tcPr>
            <w:tcW w:type="dxa" w:w="29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Arial Regular • 10–12 pt</w:t>
            </w:r>
          </w:p>
        </w:tc>
        <w:tc>
          <w:tcPr>
            <w:tcW w:type="dxa" w:w="4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Clareza, ritmo e leitura confortável.</w:t>
            </w:r>
          </w:p>
        </w:tc>
      </w:tr>
    </w:tbl>
    <w:p>
      <w:pPr>
        <w:pStyle w:val="Heading2"/>
      </w:pPr>
      <w:r>
        <w:t>Boas práticas</w:t>
      </w:r>
    </w:p>
    <w:p>
      <w:pPr>
        <w:numPr>
          <w:ilvl w:val="0"/>
          <w:numId w:val="10"/>
        </w:numPr>
      </w:pPr>
      <w:r>
        <w:t>Usar no máximo três pesos tipográficos por peça.</w:t>
      </w:r>
    </w:p>
    <w:p>
      <w:pPr>
        <w:numPr>
          <w:ilvl w:val="0"/>
          <w:numId w:val="10"/>
        </w:numPr>
      </w:pPr>
      <w:r>
        <w:t>Evitar textos inteiros em caixa alta; reservar caixa alta para rótulos curtos.</w:t>
      </w:r>
    </w:p>
    <w:p>
      <w:pPr>
        <w:numPr>
          <w:ilvl w:val="0"/>
          <w:numId w:val="10"/>
        </w:numPr>
      </w:pPr>
      <w:r>
        <w:t>Manter contraste mínimo de 4,5:1 em textos digitais de corpo.</w:t>
      </w:r>
    </w:p>
    <w:p>
      <w:pPr>
        <w:numPr>
          <w:ilvl w:val="0"/>
          <w:numId w:val="10"/>
        </w:numPr>
      </w:pPr>
      <w:r>
        <w:t>Não condensar, esticar ou alterar o espaçamento do logotipo.</w:t>
      </w:r>
    </w:p>
    <w:p>
      <w:r>
        <w:br w:type="page"/>
      </w:r>
    </w:p>
    <w:p>
      <w:pPr>
        <w:pStyle w:val="Kicker"/>
      </w:pPr>
      <w:r>
        <w:t>07  /  SISTEMA DE MARCA</w:t>
      </w:r>
    </w:p>
    <w:p>
      <w:pPr>
        <w:pStyle w:val="PageTitle"/>
      </w:pPr>
      <w:r>
        <w:t>Linguagem visual</w:t>
      </w:r>
    </w:p>
    <w:p>
      <w:pPr>
        <w:pStyle w:val="Subtitle"/>
      </w:pPr>
      <w:r>
        <w:t>Movimento, conexão e precisão orientam imagens e elementos gráficos.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572000" cy="3429000"/>
            <wp:docPr id="8" name="Picture 8" descr="Cadernos institucionais em azul com aplicação da marc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tebooks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Exemplo de aplicação com materialidade sóbria, alto contraste e detalhe vermelho.</w:t>
      </w:r>
    </w:p>
    <w:p>
      <w:pPr>
        <w:pStyle w:val="Heading2"/>
      </w:pPr>
      <w:r>
        <w:t>Elementos proprietários</w:t>
      </w:r>
    </w:p>
    <w:p>
      <w:pPr>
        <w:numPr>
          <w:ilvl w:val="0"/>
          <w:numId w:val="10"/>
        </w:numPr>
      </w:pPr>
      <w:r>
        <w:t>Curva em “S”: pode inspirar recortes, trilhas e transições, sem reproduzir ou deformar o símbolo.</w:t>
      </w:r>
    </w:p>
    <w:p>
      <w:pPr>
        <w:numPr>
          <w:ilvl w:val="0"/>
          <w:numId w:val="10"/>
        </w:numPr>
      </w:pPr>
      <w:r>
        <w:t>Pontos ascendentes: comunicam evolução, conexão e aprendizado; usar em grupos pequenos e com bastante respiro.</w:t>
      </w:r>
    </w:p>
    <w:p>
      <w:pPr>
        <w:numPr>
          <w:ilvl w:val="0"/>
          <w:numId w:val="10"/>
        </w:numPr>
      </w:pPr>
      <w:r>
        <w:t>Contraste azul–vermelho: reservar o vermelho para marcos, chamadas e detalhes de navegação.</w:t>
      </w:r>
    </w:p>
    <w:p>
      <w:pPr>
        <w:pStyle w:val="Heading2"/>
      </w:pPr>
      <w:r>
        <w:t>Direção fotográfica</w:t>
      </w:r>
    </w:p>
    <w:p>
      <w:pPr>
        <w:numPr>
          <w:ilvl w:val="0"/>
          <w:numId w:val="10"/>
        </w:numPr>
      </w:pPr>
      <w:r>
        <w:t>Preferir luz natural ou iluminação limpa, cenários organizados e sensação de competência próxima.</w:t>
      </w:r>
    </w:p>
    <w:p>
      <w:pPr>
        <w:numPr>
          <w:ilvl w:val="0"/>
          <w:numId w:val="10"/>
        </w:numPr>
      </w:pPr>
      <w:r>
        <w:t>Mostrar pessoas em atividade real: aprendendo, colaborando, criando ou aplicando tecnologia.</w:t>
      </w:r>
    </w:p>
    <w:p>
      <w:pPr>
        <w:numPr>
          <w:ilvl w:val="0"/>
          <w:numId w:val="10"/>
        </w:numPr>
      </w:pPr>
      <w:r>
        <w:t>Evitar imagens genéricas, poses artificiais, excesso de filtros e fundos visualmente poluídos.</w:t>
      </w:r>
    </w:p>
    <w:p>
      <w:r>
        <w:br w:type="page"/>
      </w:r>
    </w:p>
    <w:p>
      <w:pPr>
        <w:pStyle w:val="Kicker"/>
      </w:pPr>
      <w:r>
        <w:t>08  /  SISTEMA DE MARCA</w:t>
      </w:r>
    </w:p>
    <w:p>
      <w:pPr>
        <w:pStyle w:val="PageTitle"/>
      </w:pPr>
      <w:r>
        <w:t>Fundos e contraste</w:t>
      </w:r>
    </w:p>
    <w:p>
      <w:pPr>
        <w:pStyle w:val="Subtitle"/>
      </w:pPr>
      <w:r>
        <w:t>A assinatura deve permanecer legível e coerente em qualquer suporte.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669280" cy="2196846"/>
            <wp:docPr id="9" name="Picture 9" descr="Assinatura principal sobre fundo branc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roved_light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196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Aplicação preferencial: marca colorida sobre branco ou tom muito claro e neutro.</w:t>
      </w:r>
    </w:p>
    <w:p>
      <w:pPr>
        <w:pStyle w:val="Heading2"/>
      </w:pPr>
      <w:r>
        <w:t>Fundo claro</w:t>
      </w:r>
    </w:p>
    <w:p>
      <w:r>
        <w:t>Utilize a versão colorida completa. Garanta que a área atrás da marca seja uniforme, sem texturas ou objetos que prejudiquem a leitura.</w:t>
      </w:r>
    </w:p>
    <w:p>
      <w:pPr>
        <w:pStyle w:val="Heading2"/>
      </w:pPr>
      <w:r>
        <w:t>Fundo azul institucional</w:t>
      </w:r>
    </w:p>
    <w:p>
      <w:r>
        <w:t>Utilize a versão negativa aprovada, com elementos claros e o vermelho preservado quando houver contraste suficiente. Não aplique o azul escuro do logotipo sobre fundo azul.</w:t>
      </w:r>
    </w:p>
    <w:p>
      <w:pPr>
        <w:pStyle w:val="Heading2"/>
      </w:pPr>
      <w:r>
        <w:t>Fotografias</w:t>
      </w:r>
    </w:p>
    <w:p>
      <w:pPr>
        <w:numPr>
          <w:ilvl w:val="0"/>
          <w:numId w:val="10"/>
        </w:numPr>
      </w:pPr>
      <w:r>
        <w:t>Posicionar a marca em áreas de baixa complexidade e contraste previsível.</w:t>
      </w:r>
    </w:p>
    <w:p>
      <w:pPr>
        <w:numPr>
          <w:ilvl w:val="0"/>
          <w:numId w:val="10"/>
        </w:numPr>
      </w:pPr>
      <w:r>
        <w:t>Quando necessário, criar uma reserva branca ou azul institucional respeitando a área de proteção.</w:t>
      </w:r>
    </w:p>
    <w:p>
      <w:pPr>
        <w:numPr>
          <w:ilvl w:val="0"/>
          <w:numId w:val="10"/>
        </w:numPr>
      </w:pPr>
      <w:r>
        <w:t>Nunca adicionar sombra, contorno ou brilho para “forçar” legibilidade.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9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</w:tblBorders>
      </w:tblPr>
      <w:tblGrid>
        <w:gridCol w:w="9360"/>
      </w:tblGrid>
      <w:tr>
        <w:tc>
          <w:tcPr>
            <w:tcW w:type="dxa" w:w="9360"/>
            <w:tcMar>
              <w:top w:w="150" w:type="dxa"/>
              <w:start w:w="190" w:type="dxa"/>
              <w:bottom w:w="150" w:type="dxa"/>
              <w:end w:w="190" w:type="dxa"/>
            </w:tcMar>
            <w:vAlign w:val="center"/>
            <w:shd w:fill="F2F4F7"/>
          </w:tcPr>
          <w:p>
            <w:pPr>
              <w:spacing w:after="60"/>
            </w:pPr>
            <w:r>
              <w:rPr>
                <w:rFonts w:ascii="Arial" w:hAnsi="Arial"/>
                <w:b/>
                <w:color w:val="CA0D28"/>
                <w:sz w:val="17"/>
              </w:rPr>
              <w:t>APROVAÇÃO</w:t>
            </w:r>
          </w:p>
          <w:p>
            <w:pPr>
              <w:spacing w:after="0"/>
            </w:pPr>
            <w:r>
              <w:rPr>
                <w:rFonts w:ascii="Arial" w:hAnsi="Arial"/>
                <w:color w:val="1F2530"/>
                <w:sz w:val="21"/>
              </w:rPr>
              <w:t>Somente versões negativas fornecidas como arquivo oficial devem ser utilizadas. Não converta a marca colorida manualmente.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Kicker"/>
      </w:pPr>
      <w:r>
        <w:t>09  /  SISTEMA DE MARCA</w:t>
      </w:r>
    </w:p>
    <w:p>
      <w:pPr>
        <w:pStyle w:val="PageTitle"/>
      </w:pPr>
      <w:r>
        <w:t>Usos corretos e incorretos</w:t>
      </w:r>
    </w:p>
    <w:p>
      <w:pPr>
        <w:pStyle w:val="Subtitle"/>
      </w:pPr>
      <w:r>
        <w:t>Consistência vem de decisões simples repetidas com disciplina.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3EE"/>
          </w:tcPr>
          <w:p>
            <w:pPr>
              <w:jc w:val="center"/>
            </w:pPr>
            <w:r>
              <w:rPr>
                <w:rFonts w:ascii="Arial" w:hAnsi="Arial"/>
                <w:b/>
                <w:color w:val="04295E"/>
                <w:sz w:val="20"/>
              </w:rPr>
              <w:t>FAÇA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9EBED"/>
          </w:tcPr>
          <w:p>
            <w:pPr>
              <w:jc w:val="center"/>
            </w:pPr>
            <w:r>
              <w:rPr>
                <w:rFonts w:ascii="Arial" w:hAnsi="Arial"/>
                <w:b/>
                <w:color w:val="CA0D28"/>
                <w:sz w:val="20"/>
              </w:rPr>
              <w:t>NÃO FAÇA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ind w:left="115"/>
            </w:pPr>
            <w:r>
              <w:rPr>
                <w:rFonts w:ascii="Arial" w:hAnsi="Arial"/>
                <w:b/>
                <w:color w:val="0E5B9E"/>
                <w:sz w:val="15"/>
              </w:rPr>
              <w:t xml:space="preserve">APROVADO  </w:t>
            </w:r>
            <w:r>
              <w:rPr>
                <w:rFonts w:ascii="Arial" w:hAnsi="Arial"/>
                <w:color w:val="1F2530"/>
                <w:sz w:val="18"/>
              </w:rPr>
              <w:t>Use arquivos oficiais e preserve proporções.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ind w:left="115"/>
            </w:pPr>
            <w:r>
              <w:rPr>
                <w:rFonts w:ascii="Arial" w:hAnsi="Arial"/>
                <w:b/>
                <w:color w:val="CA0D28"/>
                <w:sz w:val="15"/>
              </w:rPr>
              <w:t xml:space="preserve">EVITAR  </w:t>
            </w:r>
            <w:r>
              <w:rPr>
                <w:rFonts w:ascii="Arial" w:hAnsi="Arial"/>
                <w:color w:val="1F2530"/>
                <w:sz w:val="18"/>
              </w:rPr>
              <w:t>Não estique, comprima, incline ou gire a marca.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ind w:left="115"/>
            </w:pPr>
            <w:r>
              <w:rPr>
                <w:rFonts w:ascii="Arial" w:hAnsi="Arial"/>
                <w:b/>
                <w:color w:val="0E5B9E"/>
                <w:sz w:val="15"/>
              </w:rPr>
              <w:t xml:space="preserve">APROVADO  </w:t>
            </w:r>
            <w:r>
              <w:rPr>
                <w:rFonts w:ascii="Arial" w:hAnsi="Arial"/>
                <w:color w:val="1F2530"/>
                <w:sz w:val="18"/>
              </w:rPr>
              <w:t>Mantenha a área de proteção e o tamanho mínimo.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ind w:left="115"/>
            </w:pPr>
            <w:r>
              <w:rPr>
                <w:rFonts w:ascii="Arial" w:hAnsi="Arial"/>
                <w:b/>
                <w:color w:val="CA0D28"/>
                <w:sz w:val="15"/>
              </w:rPr>
              <w:t xml:space="preserve">EVITAR  </w:t>
            </w:r>
            <w:r>
              <w:rPr>
                <w:rFonts w:ascii="Arial" w:hAnsi="Arial"/>
                <w:color w:val="1F2530"/>
                <w:sz w:val="18"/>
              </w:rPr>
              <w:t>Não altere cores nem aplique gradientes ou efeitos extras.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ind w:left="115"/>
            </w:pPr>
            <w:r>
              <w:rPr>
                <w:rFonts w:ascii="Arial" w:hAnsi="Arial"/>
                <w:b/>
                <w:color w:val="0E5B9E"/>
                <w:sz w:val="15"/>
              </w:rPr>
              <w:t xml:space="preserve">APROVADO  </w:t>
            </w:r>
            <w:r>
              <w:rPr>
                <w:rFonts w:ascii="Arial" w:hAnsi="Arial"/>
                <w:color w:val="1F2530"/>
                <w:sz w:val="18"/>
              </w:rPr>
              <w:t>Escolha a versão adequada ao fundo e ao formato.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ind w:left="115"/>
            </w:pPr>
            <w:r>
              <w:rPr>
                <w:rFonts w:ascii="Arial" w:hAnsi="Arial"/>
                <w:b/>
                <w:color w:val="CA0D28"/>
                <w:sz w:val="15"/>
              </w:rPr>
              <w:t xml:space="preserve">EVITAR  </w:t>
            </w:r>
            <w:r>
              <w:rPr>
                <w:rFonts w:ascii="Arial" w:hAnsi="Arial"/>
                <w:color w:val="1F2530"/>
                <w:sz w:val="18"/>
              </w:rPr>
              <w:t>Não reorganize símbolo, nome, lema ou espaçamentos.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ind w:left="115"/>
            </w:pPr>
            <w:r>
              <w:rPr>
                <w:rFonts w:ascii="Arial" w:hAnsi="Arial"/>
                <w:b/>
                <w:color w:val="0E5B9E"/>
                <w:sz w:val="15"/>
              </w:rPr>
              <w:t xml:space="preserve">APROVADO  </w:t>
            </w:r>
            <w:r>
              <w:rPr>
                <w:rFonts w:ascii="Arial" w:hAnsi="Arial"/>
                <w:color w:val="1F2530"/>
                <w:sz w:val="18"/>
              </w:rPr>
              <w:t>Mantenha cores, alinhamentos e hierarquia originais.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ind w:left="115"/>
            </w:pPr>
            <w:r>
              <w:rPr>
                <w:rFonts w:ascii="Arial" w:hAnsi="Arial"/>
                <w:b/>
                <w:color w:val="CA0D28"/>
                <w:sz w:val="15"/>
              </w:rPr>
              <w:t xml:space="preserve">EVITAR  </w:t>
            </w:r>
            <w:r>
              <w:rPr>
                <w:rFonts w:ascii="Arial" w:hAnsi="Arial"/>
                <w:color w:val="1F2530"/>
                <w:sz w:val="18"/>
              </w:rPr>
              <w:t>Não aplique sobre fundos de baixo contraste ou muito complexos.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ind w:left="115"/>
            </w:pPr>
            <w:r>
              <w:rPr>
                <w:rFonts w:ascii="Arial" w:hAnsi="Arial"/>
                <w:b/>
                <w:color w:val="0E5B9E"/>
                <w:sz w:val="15"/>
              </w:rPr>
              <w:t xml:space="preserve">APROVADO  </w:t>
            </w:r>
            <w:r>
              <w:rPr>
                <w:rFonts w:ascii="Arial" w:hAnsi="Arial"/>
                <w:color w:val="1F2530"/>
                <w:sz w:val="18"/>
              </w:rPr>
              <w:t>Faça prova de leitura antes de publicar ou imprimir.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  <w:ind w:left="115"/>
            </w:pPr>
            <w:r>
              <w:rPr>
                <w:rFonts w:ascii="Arial" w:hAnsi="Arial"/>
                <w:b/>
                <w:color w:val="CA0D28"/>
                <w:sz w:val="15"/>
              </w:rPr>
              <w:t xml:space="preserve">EVITAR  </w:t>
            </w:r>
            <w:r>
              <w:rPr>
                <w:rFonts w:ascii="Arial" w:hAnsi="Arial"/>
                <w:color w:val="1F2530"/>
                <w:sz w:val="18"/>
              </w:rPr>
              <w:t>Não redesenhe, vetorize automaticamente ou digite o lettering.</w:t>
            </w:r>
          </w:p>
        </w:tc>
      </w:tr>
    </w:tbl>
    <w:p>
      <w:pPr>
        <w:pStyle w:val="Heading2"/>
      </w:pPr>
      <w:r>
        <w:t>Exceções</w:t>
      </w:r>
    </w:p>
    <w:p>
      <w:r>
        <w:t>Qualquer adaptação que não esteja prevista neste manual deve ser avaliada pela pessoa responsável pela marca. A necessidade técnica de um fornecedor não autoriza mudanças na assinatura.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9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</w:tblBorders>
      </w:tblPr>
      <w:tblGrid>
        <w:gridCol w:w="9360"/>
      </w:tblGrid>
      <w:tr>
        <w:tc>
          <w:tcPr>
            <w:tcW w:type="dxa" w:w="9360"/>
            <w:tcMar>
              <w:top w:w="150" w:type="dxa"/>
              <w:start w:w="190" w:type="dxa"/>
              <w:bottom w:w="150" w:type="dxa"/>
              <w:end w:w="190" w:type="dxa"/>
            </w:tcMar>
            <w:vAlign w:val="center"/>
            <w:shd w:fill="EEF3F8"/>
          </w:tcPr>
          <w:p>
            <w:pPr>
              <w:spacing w:after="60"/>
            </w:pPr>
            <w:r>
              <w:rPr>
                <w:rFonts w:ascii="Arial" w:hAnsi="Arial"/>
                <w:b/>
                <w:color w:val="0E5B9E"/>
                <w:sz w:val="17"/>
              </w:rPr>
              <w:t>REGRA DE OURO</w:t>
            </w:r>
          </w:p>
          <w:p>
            <w:pPr>
              <w:spacing w:after="0"/>
            </w:pPr>
            <w:r>
              <w:rPr>
                <w:rFonts w:ascii="Arial" w:hAnsi="Arial"/>
                <w:color w:val="1F2530"/>
                <w:sz w:val="21"/>
              </w:rPr>
              <w:t>Se a marca precisar ser alterada para caber, mude o layout — não a marca.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Kicker"/>
      </w:pPr>
      <w:r>
        <w:t>10  /  SISTEMA DE MARCA</w:t>
      </w:r>
    </w:p>
    <w:p>
      <w:pPr>
        <w:pStyle w:val="PageTitle"/>
      </w:pPr>
      <w:r>
        <w:t>Aplicações</w:t>
      </w:r>
    </w:p>
    <w:p>
      <w:pPr>
        <w:pStyle w:val="Subtitle"/>
      </w:pPr>
      <w:r>
        <w:t>Os mockups demonstram consistência, contraste e flexibilidade em diferentes materiais.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68880" cy="1851660"/>
                  <wp:docPr id="10" name="Picture 10" descr="Garrafas branca e azul com aplicações da marc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ttles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18516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CA0D28"/>
                <w:sz w:val="16"/>
              </w:rPr>
              <w:t>BRINDES E UTILITÁRIOS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68880" cy="1975808"/>
                  <wp:docPr id="11" name="Picture 11" descr="Uniformes azul e branco com a marc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niforms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19758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CA0D28"/>
                <w:sz w:val="16"/>
              </w:rPr>
              <w:t>UNIFORMES</w:t>
            </w:r>
          </w:p>
        </w:tc>
      </w:tr>
      <w:t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68880" cy="1851660"/>
                  <wp:docPr id="12" name="Picture 12" descr="Cadernos institucionais com aplicação da marc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tebooks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18516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CA0D28"/>
                <w:sz w:val="16"/>
              </w:rPr>
              <w:t>PAPELARIA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68880" cy="1645920"/>
                  <wp:docPr id="13" name="Picture 13" descr="Conjunto de materiais institucionai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t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1645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CA0D28"/>
                <w:sz w:val="16"/>
              </w:rPr>
              <w:t>SISTEMA INTEGRADO</w:t>
            </w:r>
          </w:p>
        </w:tc>
      </w:tr>
    </w:tbl>
    <w:p>
      <w:r>
        <w:t>Os mockups são referências de direção visual. Antes da produção, ajuste escala, técnica de impressão, bordado, área útil e cores ao gabarito do fornecedor.</w:t>
      </w:r>
    </w:p>
    <w:p>
      <w:pPr>
        <w:pStyle w:val="Heading2"/>
      </w:pPr>
      <w:r>
        <w:t>Critérios de produção</w:t>
      </w:r>
    </w:p>
    <w:p>
      <w:pPr>
        <w:numPr>
          <w:ilvl w:val="0"/>
          <w:numId w:val="10"/>
        </w:numPr>
      </w:pPr>
      <w:r>
        <w:t>Em bordado e gravação, simplificar apenas com arquivo específico aprovado.</w:t>
      </w:r>
    </w:p>
    <w:p>
      <w:pPr>
        <w:numPr>
          <w:ilvl w:val="0"/>
          <w:numId w:val="10"/>
        </w:numPr>
      </w:pPr>
      <w:r>
        <w:t>Em superfícies curvas, centralizar visualmente e conferir deformação na prova física.</w:t>
      </w:r>
    </w:p>
    <w:p>
      <w:pPr>
        <w:numPr>
          <w:ilvl w:val="0"/>
          <w:numId w:val="10"/>
        </w:numPr>
      </w:pPr>
      <w:r>
        <w:t>Em materiais azul-marinho, usar versão negativa oficial com alto contraste.</w:t>
      </w:r>
    </w:p>
    <w:p>
      <w:r>
        <w:br w:type="page"/>
      </w:r>
    </w:p>
    <w:p>
      <w:pPr>
        <w:pStyle w:val="Kicker"/>
      </w:pPr>
      <w:r>
        <w:t>11  /  SISTEMA DE MARCA</w:t>
      </w:r>
    </w:p>
    <w:p>
      <w:pPr>
        <w:pStyle w:val="PageTitle"/>
      </w:pPr>
      <w:r>
        <w:t>Uso digital</w:t>
      </w:r>
    </w:p>
    <w:p>
      <w:pPr>
        <w:pStyle w:val="Subtitle"/>
      </w:pPr>
      <w:r>
        <w:t>A marca precisa continuar reconhecível em telas pequenas, interfaces e conteúdo em movimento.</w:t>
      </w:r>
    </w:p>
    <w:p>
      <w:pPr>
        <w:pStyle w:val="Heading2"/>
      </w:pPr>
      <w:r>
        <w:t>Perfis e avatares</w:t>
      </w:r>
    </w:p>
    <w:p>
      <w:pPr>
        <w:numPr>
          <w:ilvl w:val="0"/>
          <w:numId w:val="10"/>
        </w:numPr>
      </w:pPr>
      <w:r>
        <w:t>Usar o símbolo isolado em ícones quadrados ou circulares, centralizado e com respiro.</w:t>
      </w:r>
    </w:p>
    <w:p>
      <w:pPr>
        <w:numPr>
          <w:ilvl w:val="0"/>
          <w:numId w:val="10"/>
        </w:numPr>
      </w:pPr>
      <w:r>
        <w:t>Manter pelo menos 32 px de largura visível; para avatares, exportar em 512 × 512 px.</w:t>
      </w:r>
    </w:p>
    <w:p>
      <w:pPr>
        <w:numPr>
          <w:ilvl w:val="0"/>
          <w:numId w:val="10"/>
        </w:numPr>
      </w:pPr>
      <w:r>
        <w:t>Não inserir o lema em imagens de perfil.</w:t>
      </w:r>
    </w:p>
    <w:p>
      <w:pPr>
        <w:pStyle w:val="Heading2"/>
      </w:pPr>
      <w:r>
        <w:t>Sites e sistemas</w:t>
      </w:r>
    </w:p>
    <w:p>
      <w:pPr>
        <w:numPr>
          <w:ilvl w:val="0"/>
          <w:numId w:val="10"/>
        </w:numPr>
      </w:pPr>
      <w:r>
        <w:t>Usar a assinatura horizontal no cabeçalho e o símbolo no favicon.</w:t>
      </w:r>
    </w:p>
    <w:p>
      <w:pPr>
        <w:numPr>
          <w:ilvl w:val="0"/>
          <w:numId w:val="10"/>
        </w:numPr>
      </w:pPr>
      <w:r>
        <w:t>Preferir SVG para nitidez responsiva; fornecer PNG em 2× como alternativa.</w:t>
      </w:r>
    </w:p>
    <w:p>
      <w:pPr>
        <w:numPr>
          <w:ilvl w:val="0"/>
          <w:numId w:val="10"/>
        </w:numPr>
      </w:pPr>
      <w:r>
        <w:t>Incluir texto alternativo: “UniFUNVIC Soluções”.</w:t>
      </w:r>
    </w:p>
    <w:p>
      <w:pPr>
        <w:pStyle w:val="Heading2"/>
      </w:pPr>
      <w:r>
        <w:t>Apresentações e documentos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2700"/>
        <w:gridCol w:w="3270"/>
        <w:gridCol w:w="339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PEÇA</w:t>
            </w:r>
          </w:p>
        </w:tc>
        <w:tc>
          <w:tcPr>
            <w:tcW w:type="dxa" w:w="32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POSIÇÃO RECOMENDADA</w:t>
            </w:r>
          </w:p>
        </w:tc>
        <w:tc>
          <w:tcPr>
            <w:tcW w:type="dxa" w:w="33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TRATAMENTO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1F2530"/>
                <w:sz w:val="17"/>
              </w:rPr>
              <w:t>Capa</w:t>
            </w:r>
          </w:p>
        </w:tc>
        <w:tc>
          <w:tcPr>
            <w:tcW w:type="dxa" w:w="32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Centro ou canto superior esquerdo</w:t>
            </w:r>
          </w:p>
        </w:tc>
        <w:tc>
          <w:tcPr>
            <w:tcW w:type="dxa" w:w="33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Assinatura completa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1F2530"/>
                <w:sz w:val="17"/>
              </w:rPr>
              <w:t>Páginas internas</w:t>
            </w:r>
          </w:p>
        </w:tc>
        <w:tc>
          <w:tcPr>
            <w:tcW w:type="dxa" w:w="32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Rodapé ou canto discreto</w:t>
            </w:r>
          </w:p>
        </w:tc>
        <w:tc>
          <w:tcPr>
            <w:tcW w:type="dxa" w:w="33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Horizontal reduzida ou símbolo</w:t>
            </w:r>
          </w:p>
        </w:tc>
      </w:tr>
      <w:t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1F2530"/>
                <w:sz w:val="17"/>
              </w:rPr>
              <w:t>Encerramento</w:t>
            </w:r>
          </w:p>
        </w:tc>
        <w:tc>
          <w:tcPr>
            <w:tcW w:type="dxa" w:w="32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Centro, com amplo respiro</w:t>
            </w:r>
          </w:p>
        </w:tc>
        <w:tc>
          <w:tcPr>
            <w:tcW w:type="dxa" w:w="33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Assinatura completa + lema</w:t>
            </w:r>
          </w:p>
        </w:tc>
      </w:tr>
    </w:tbl>
    <w:p>
      <w:pPr>
        <w:pStyle w:val="Heading2"/>
      </w:pPr>
      <w:r>
        <w:t>Acessibilidade</w:t>
      </w:r>
    </w:p>
    <w:p>
      <w:pPr>
        <w:numPr>
          <w:ilvl w:val="0"/>
          <w:numId w:val="10"/>
        </w:numPr>
      </w:pPr>
      <w:r>
        <w:t>Não comunicar informação apenas por cor.</w:t>
      </w:r>
    </w:p>
    <w:p>
      <w:pPr>
        <w:numPr>
          <w:ilvl w:val="0"/>
          <w:numId w:val="10"/>
        </w:numPr>
      </w:pPr>
      <w:r>
        <w:t>Manter contraste de texto conforme WCAG 2.2: 4,5:1 para texto normal e 3:1 para texto grande.</w:t>
      </w:r>
    </w:p>
    <w:p>
      <w:pPr>
        <w:numPr>
          <w:ilvl w:val="0"/>
          <w:numId w:val="10"/>
        </w:numPr>
      </w:pPr>
      <w:r>
        <w:t>Adicionar legendas em vídeos e descrições alternativas em imagens relevantes.</w:t>
      </w:r>
    </w:p>
    <w:p>
      <w:pPr>
        <w:pStyle w:val="Small"/>
      </w:pPr>
      <w:r>
        <w:t xml:space="preserve">Referência: </w:t>
      </w:r>
      <w:hyperlink r:id="rId21">
        <w:r>
          <w:rPr>
            <w:color w:val="0E5B9E"/>
          </w:rPr>
          <w:t>W3C — WCAG 2.2, critério 1.4.3</w:t>
        </w:r>
      </w:hyperlink>
    </w:p>
    <w:p>
      <w:r>
        <w:br w:type="page"/>
      </w:r>
    </w:p>
    <w:p>
      <w:pPr>
        <w:pStyle w:val="Kicker"/>
      </w:pPr>
      <w:r>
        <w:t>12  /  SISTEMA DE MARCA</w:t>
      </w:r>
    </w:p>
    <w:p>
      <w:pPr>
        <w:pStyle w:val="PageTitle"/>
      </w:pPr>
      <w:r>
        <w:t>Governança e entrega</w:t>
      </w:r>
    </w:p>
    <w:p>
      <w:pPr>
        <w:pStyle w:val="Subtitle"/>
      </w:pPr>
      <w:r>
        <w:t>Um processo simples evita deriva visual e retrabalho com fornecedores.</w:t>
      </w:r>
    </w:p>
    <w:p>
      <w:pPr>
        <w:pStyle w:val="Heading2"/>
      </w:pPr>
      <w:r>
        <w:t>Pacote mínimo de arquivos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  <w:insideH w:val="single" w:sz="6" w:space="0" w:color="D9DEE7"/>
          <w:insideV w:val="single" w:sz="6" w:space="0" w:color="D9DEE7"/>
        </w:tblBorders>
      </w:tblPr>
      <w:tblGrid>
        <w:gridCol w:w="2100"/>
        <w:gridCol w:w="2600"/>
        <w:gridCol w:w="4660"/>
      </w:tblGrid>
      <w:tr>
        <w:trPr>
          <w:tblHeader w:val="true"/>
        </w:trP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FORMATO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FINALIDADE</w:t>
            </w:r>
          </w:p>
        </w:tc>
        <w:tc>
          <w:tcPr>
            <w:tcW w:type="dxa" w:w="4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4295E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CONTEÚDO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1F2530"/>
                <w:sz w:val="17"/>
              </w:rPr>
              <w:t>SVG / PDF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Digital e impressão</w:t>
            </w:r>
          </w:p>
        </w:tc>
        <w:tc>
          <w:tcPr>
            <w:tcW w:type="dxa" w:w="4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Assinaturas vetoriais colorida, negativa e monocromática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1F2530"/>
                <w:sz w:val="17"/>
              </w:rPr>
              <w:t>PNG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Documentos e redes</w:t>
            </w:r>
          </w:p>
        </w:tc>
        <w:tc>
          <w:tcPr>
            <w:tcW w:type="dxa" w:w="4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Fundo transparente, versões horizontal, compacta e símbolo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1F2530"/>
                <w:sz w:val="17"/>
              </w:rPr>
              <w:t>JPG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Uso rápido</w:t>
            </w:r>
          </w:p>
        </w:tc>
        <w:tc>
          <w:tcPr>
            <w:tcW w:type="dxa" w:w="4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Apenas sobre fundo branco, em alta resolução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/>
                <w:color w:val="1F2530"/>
                <w:sz w:val="17"/>
              </w:rPr>
              <w:t>README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Orientação</w:t>
            </w:r>
          </w:p>
        </w:tc>
        <w:tc>
          <w:tcPr>
            <w:tcW w:type="dxa" w:w="4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1F2530"/>
                <w:sz w:val="17"/>
              </w:rPr>
              <w:t>Nomes de arquivo, cores, tamanhos mínimos e contato responsável</w:t>
            </w:r>
          </w:p>
        </w:tc>
      </w:tr>
    </w:tbl>
    <w:p>
      <w:pPr>
        <w:pStyle w:val="Heading2"/>
      </w:pPr>
      <w:r>
        <w:t>Checklist antes de publicar</w:t>
      </w:r>
    </w:p>
    <w:p>
      <w:pPr>
        <w:numPr>
          <w:ilvl w:val="0"/>
          <w:numId w:val="11"/>
        </w:numPr>
      </w:pPr>
      <w:r>
        <w:t>Confirmar se o arquivo de marca é oficial e está na versão correta.</w:t>
      </w:r>
    </w:p>
    <w:p>
      <w:pPr>
        <w:numPr>
          <w:ilvl w:val="0"/>
          <w:numId w:val="11"/>
        </w:numPr>
      </w:pPr>
      <w:r>
        <w:t>Verificar proporção, área de proteção, fundo e tamanho mínimo.</w:t>
      </w:r>
    </w:p>
    <w:p>
      <w:pPr>
        <w:numPr>
          <w:ilvl w:val="0"/>
          <w:numId w:val="11"/>
        </w:numPr>
      </w:pPr>
      <w:r>
        <w:t>Revisar cores, tipografia, contraste, ortografia e texto alternativo.</w:t>
      </w:r>
    </w:p>
    <w:p>
      <w:pPr>
        <w:numPr>
          <w:ilvl w:val="0"/>
          <w:numId w:val="11"/>
        </w:numPr>
      </w:pPr>
      <w:r>
        <w:t>Gerar prova em tamanho real para impressão, bordado ou sinalização.</w:t>
      </w:r>
    </w:p>
    <w:p>
      <w:pPr>
        <w:numPr>
          <w:ilvl w:val="0"/>
          <w:numId w:val="11"/>
        </w:numPr>
      </w:pPr>
      <w:r>
        <w:t>Arquivar o material aprovado e registrar exceções autorizadas.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90" w:type="dxa"/>
        <w:tblBorders>
          <w:top w:val="single" w:sz="6" w:space="0" w:color="D9DEE7"/>
          <w:left w:val="single" w:sz="6" w:space="0" w:color="D9DEE7"/>
          <w:bottom w:val="single" w:sz="6" w:space="0" w:color="D9DEE7"/>
          <w:right w:val="single" w:sz="6" w:space="0" w:color="D9DEE7"/>
        </w:tblBorders>
      </w:tblPr>
      <w:tblGrid>
        <w:gridCol w:w="9360"/>
      </w:tblGrid>
      <w:tr>
        <w:tc>
          <w:tcPr>
            <w:tcW w:type="dxa" w:w="9360"/>
            <w:tcMar>
              <w:top w:w="150" w:type="dxa"/>
              <w:start w:w="190" w:type="dxa"/>
              <w:bottom w:w="150" w:type="dxa"/>
              <w:end w:w="190" w:type="dxa"/>
            </w:tcMar>
            <w:vAlign w:val="center"/>
            <w:shd w:fill="F2F4F7"/>
          </w:tcPr>
          <w:p>
            <w:pPr>
              <w:spacing w:after="60"/>
            </w:pPr>
            <w:r>
              <w:rPr>
                <w:rFonts w:ascii="Arial" w:hAnsi="Arial"/>
                <w:b/>
                <w:color w:val="CA0D28"/>
                <w:sz w:val="17"/>
              </w:rPr>
              <w:t>PONTOS A FORMALIZAR</w:t>
            </w:r>
          </w:p>
          <w:p>
            <w:pPr>
              <w:spacing w:after="0"/>
            </w:pPr>
            <w:r>
              <w:rPr>
                <w:rFonts w:ascii="Arial" w:hAnsi="Arial"/>
                <w:color w:val="1F2530"/>
                <w:sz w:val="21"/>
              </w:rPr>
              <w:t>Para uma versão definitiva, recomenda-se confirmar a fonte institucional, versões monocromáticas/negativas, arquivos vetoriais mestres, códigos Pantone, política de co-branding e responsável por aprovações.</w:t>
            </w:r>
          </w:p>
        </w:tc>
      </w:tr>
    </w:tbl>
    <w:p>
      <w:pPr>
        <w:spacing w:after="0"/>
      </w:pPr>
    </w:p>
    <w:p>
      <w:pPr>
        <w:spacing w:before="160"/>
        <w:jc w:val="center"/>
      </w:pPr>
      <w:r>
        <w:drawing>
          <wp:inline xmlns:a="http://schemas.openxmlformats.org/drawingml/2006/main" xmlns:pic="http://schemas.openxmlformats.org/drawingml/2006/picture">
            <wp:extent cx="685800" cy="846072"/>
            <wp:docPr id="14" name="Picture 14" descr="Símbolo UniFUNVIC Soluçõ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mbo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460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mall"/>
        <w:jc w:val="center"/>
      </w:pPr>
      <w:r>
        <w:rPr>
          <w:b/>
          <w:color w:val="04295E"/>
        </w:rPr>
        <w:t>Consistência transforma presença em reconhecimento.</w:t>
      </w:r>
    </w:p>
    <w:p>
      <w:r>
        <w:br w:type="page"/>
      </w:r>
    </w:p>
    <w:p>
      <w:pPr>
        <w:pStyle w:val="Kicker"/>
      </w:pPr>
      <w:r>
        <w:t>13  /  COMPLEMENTO DIGITAL — V1.1</w:t>
      </w:r>
    </w:p>
    <w:p>
      <w:pPr>
        <w:pStyle w:val="PageTitle"/>
      </w:pPr>
      <w:r>
        <w:t>Assinaturas de e-mail</w:t>
      </w:r>
    </w:p>
    <w:p>
      <w:pPr>
        <w:pStyle w:val="Subtitle"/>
      </w:pPr>
      <w:r>
        <w:t>Duas propostas institucionais para a primeira mensagem e os contatos externos.</w:t>
      </w:r>
    </w:p>
    <w:p>
      <w:pPr>
        <w:pStyle w:val="Heading2"/>
      </w:pPr>
      <w:r>
        <w:t>A. Institucional horizontal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669280" cy="1795272"/>
            <wp:docPr id="15" name="Picture 15" descr="Modelo horizontal com logotipo à esquerda e campos de contato à direit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institucional_horizonta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795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Uso geral. Layout de aproximadamente 600 px de largura; logotipo exibido a 260 px.</w:t>
      </w:r>
    </w:p>
    <w:p>
      <w:pPr>
        <w:pStyle w:val="Heading2"/>
      </w:pPr>
      <w:r>
        <w:t>B. Institucional vertical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7600" cy="2048256"/>
            <wp:docPr id="16" name="Picture 16" descr="Modelo vertical com logotipo acima do nome, cargo e contato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institucional_vertical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048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Alternativa com leitura em uma coluna. Logotipo exibido a 300 px no HTML.</w:t>
      </w:r>
    </w:p>
    <w:p>
      <w:r>
        <w:t>As prévias usam campos demonstrativos. Nome, cargo, e-mail, telefone e site devem ser substituídos pelos dados reais antes de utilização.</w:t>
      </w:r>
    </w:p>
    <w:p>
      <w:pPr>
        <w:pStyle w:val="Heading3"/>
      </w:pPr>
      <w:r>
        <w:t>Padrão comum</w:t>
      </w:r>
    </w:p>
    <w:p>
      <w:r>
        <w:t>Arial; azul institucional para o nome e os contatos; cinza para informações secundárias; vermelho apenas no separador. Sem fotos pessoais, frases extras ou redes sociais não aprovadas.</w:t>
      </w:r>
    </w:p>
    <w:p>
      <w:r>
        <w:br w:type="page"/>
      </w:r>
    </w:p>
    <w:p>
      <w:pPr>
        <w:pStyle w:val="Kicker"/>
      </w:pPr>
      <w:r>
        <w:t>14  /  COMPLEMENTO DIGITAL — V1.1</w:t>
      </w:r>
    </w:p>
    <w:p>
      <w:pPr>
        <w:pStyle w:val="PageTitle"/>
      </w:pPr>
      <w:r>
        <w:t>Assinatura compacta</w:t>
      </w:r>
    </w:p>
    <w:p>
      <w:pPr>
        <w:pStyle w:val="Subtitle"/>
      </w:pPr>
      <w:r>
        <w:t>Uma versão leve para respostas, encaminhamentos e conversas recorrentes.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212080" cy="1563624"/>
            <wp:docPr id="17" name="Picture 17" descr="Assinatura de texto com nome, cargo, UniFUNVIC Soluções, e-mail e telefon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mpacta_resposta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1563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C. Compacta — texto institucional, sem tentativa de recriar o lettering do logotipo.</w:t>
      </w:r>
    </w:p>
    <w:p>
      <w:pPr>
        <w:pStyle w:val="Heading2"/>
      </w:pPr>
      <w:r>
        <w:t>Como personalizar</w:t>
      </w:r>
    </w:p>
    <w:p>
      <w:pPr>
        <w:numPr>
          <w:ilvl w:val="0"/>
          <w:numId w:val="10"/>
        </w:numPr>
      </w:pPr>
      <w:r>
        <w:t>Abra o HTML escolhido da pasta assinaturas e clique nos textos para trocar os campos. As alterações no navegador não ficam salvas ao fechar a página.</w:t>
      </w:r>
    </w:p>
    <w:p>
      <w:pPr>
        <w:numPr>
          <w:ilvl w:val="0"/>
          <w:numId w:val="10"/>
        </w:numPr>
      </w:pPr>
      <w:r>
        <w:t>Remova campos opcionais que não utiliza. Mantenha apenas canais corporativos válidos.</w:t>
      </w:r>
    </w:p>
    <w:p>
      <w:pPr>
        <w:numPr>
          <w:ilvl w:val="0"/>
          <w:numId w:val="10"/>
        </w:numPr>
      </w:pPr>
      <w:r>
        <w:t>Selecione somente o bloco da assinatura e copie para o editor de assinatura do seu programa de e-mail.</w:t>
      </w:r>
    </w:p>
    <w:p>
      <w:pPr>
        <w:numPr>
          <w:ilvl w:val="0"/>
          <w:numId w:val="10"/>
        </w:numPr>
      </w:pPr>
      <w:r>
        <w:t>Se o logotipo não for transferido, insira logo.png pelo editor. O comportamento depende do programa e das políticas de segurança.</w:t>
      </w:r>
    </w:p>
    <w:p>
      <w:pPr>
        <w:numPr>
          <w:ilvl w:val="0"/>
          <w:numId w:val="10"/>
        </w:numPr>
      </w:pPr>
      <w:r>
        <w:t>Envie uma mensagem de teste e confira a leitura no computador, no celular e em modo escuro.</w:t>
      </w:r>
    </w:p>
    <w:p>
      <w:pPr>
        <w:pStyle w:val="Heading2"/>
      </w:pPr>
      <w:r>
        <w:t>Regras de aplicação</w:t>
      </w:r>
    </w:p>
    <w:p>
      <w:r>
        <w:t>Os contatos devem permanecer como texto selecionável. Os PNGs são prévias: não substituem a assinatura completa em HTML. Evite transformar toda a assinatura em uma única imagem, porque ela pode ser bloqueada ou perder legibilidade.</w:t>
      </w:r>
    </w:p>
    <w:p>
      <w:r>
        <w:t>A configuração na conta de e-mail não faz parte desta entrega. Não publicar os textos entre colchetes; inserir links somente depois de confirmar os endereços reais.</w:t>
      </w:r>
    </w:p>
    <w:p>
      <w:r>
        <w:br w:type="page"/>
      </w:r>
    </w:p>
    <w:p>
      <w:pPr>
        <w:pStyle w:val="Kicker"/>
      </w:pPr>
      <w:r>
        <w:t>15  /  COMPLEMENTO DIGITAL — V1.1</w:t>
      </w:r>
    </w:p>
    <w:p>
      <w:pPr>
        <w:pStyle w:val="PageTitle"/>
      </w:pPr>
      <w:r>
        <w:t>Papel de parede — claro</w:t>
      </w:r>
    </w:p>
    <w:p>
      <w:pPr>
        <w:pStyle w:val="Subtitle"/>
      </w:pPr>
      <w:r>
        <w:t>Uma área de trabalho leve, com o foco visual deslocado para a direita.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128"/>
            <wp:docPr id="18" name="Picture 18" descr="Papel de parede — claro da UniFUNVIC Soluções, em formato horizonta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wallpaper_claro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Proposta clara: branco, azul institucional e detalhes vermelhos com curvas de acabamento acetinado.</w:t>
      </w:r>
    </w:p>
    <w:p>
      <w:pPr>
        <w:pStyle w:val="Heading2"/>
      </w:pPr>
      <w:r>
        <w:t>Critérios de composição</w:t>
      </w:r>
    </w:p>
    <w:p>
      <w:pPr>
        <w:numPr>
          <w:ilvl w:val="0"/>
          <w:numId w:val="10"/>
        </w:numPr>
      </w:pPr>
      <w:r>
        <w:t>A área esquerda permanece livre para ícones e pastas.</w:t>
      </w:r>
    </w:p>
    <w:p>
      <w:pPr>
        <w:numPr>
          <w:ilvl w:val="0"/>
          <w:numId w:val="10"/>
        </w:numPr>
      </w:pPr>
      <w:r>
        <w:t>A assinatura ocupa uma zona clara, separada dos elementos decorativos.</w:t>
      </w:r>
    </w:p>
    <w:p>
      <w:pPr>
        <w:numPr>
          <w:ilvl w:val="0"/>
          <w:numId w:val="10"/>
        </w:numPr>
      </w:pPr>
      <w:r>
        <w:t>Indicado para ambientes em que se deseja uma presença visual clara e discreta.</w:t>
      </w:r>
    </w:p>
    <w:p>
      <w:r>
        <w:rPr>
          <w:rFonts w:ascii="Arial" w:hAnsi="Arial"/>
          <w:b/>
          <w:color w:val="04295E"/>
          <w:sz w:val="22"/>
        </w:rPr>
        <w:t xml:space="preserve">Arquivo: </w:t>
      </w:r>
      <w:r>
        <w:t>01_wallpaper_claro.png</w:t>
      </w:r>
    </w:p>
    <w:p>
      <w:r>
        <w:rPr>
          <w:rFonts w:ascii="Arial" w:hAnsi="Arial"/>
          <w:b/>
          <w:color w:val="04295E"/>
          <w:sz w:val="22"/>
        </w:rPr>
        <w:t xml:space="preserve">Entrega: </w:t>
      </w:r>
      <w:r>
        <w:t>PNG de 1672 × 941 px, proporção aproximadamente 16:9. A imagem não inclui ícones nem programas.</w:t>
      </w:r>
    </w:p>
    <w:p>
      <w:r>
        <w:rPr>
          <w:rFonts w:ascii="Arial" w:hAnsi="Arial"/>
          <w:b/>
          <w:color w:val="04295E"/>
          <w:sz w:val="22"/>
        </w:rPr>
        <w:t xml:space="preserve">Aplicação: </w:t>
      </w:r>
      <w:r>
        <w:t>Utilize um ajuste que preserve a proporção. Confira se a assinatura permanece inteira; não estique a imagem.</w:t>
      </w:r>
    </w:p>
    <w:p>
      <w:pPr>
        <w:pStyle w:val="Small"/>
      </w:pPr>
      <w:r>
        <w:t>Proposta gerada com apoio de IA para escolha visual. Antes de padronização institucional, validar o desenho e o acabamento da marca contra o arquivo mestre. Para outros formatos de monitor, recompor sem cortar ou deformar o logotipo.</w:t>
      </w:r>
    </w:p>
    <w:p>
      <w:r>
        <w:br w:type="page"/>
      </w:r>
    </w:p>
    <w:p>
      <w:pPr>
        <w:pStyle w:val="Kicker"/>
      </w:pPr>
      <w:r>
        <w:t>16  /  COMPLEMENTO DIGITAL — V1.1</w:t>
      </w:r>
    </w:p>
    <w:p>
      <w:pPr>
        <w:pStyle w:val="PageTitle"/>
      </w:pPr>
      <w:r>
        <w:t>Papel de parede — azul</w:t>
      </w:r>
    </w:p>
    <w:p>
      <w:pPr>
        <w:pStyle w:val="Subtitle"/>
      </w:pPr>
      <w:r>
        <w:t>Uma alternativa de maior presença institucional, com fundo azul-marinho.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128"/>
            <wp:docPr id="19" name="Picture 19" descr="Papel de parede — azul da UniFUNVIC Soluções, em formato horizonta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wallpaper_azul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Proposta azul: fundo escuro e reserva branca para conservar a leitura da assinatura colorida.</w:t>
      </w:r>
    </w:p>
    <w:p>
      <w:pPr>
        <w:pStyle w:val="Heading2"/>
      </w:pPr>
      <w:r>
        <w:t>Critérios de composição</w:t>
      </w:r>
    </w:p>
    <w:p>
      <w:pPr>
        <w:numPr>
          <w:ilvl w:val="0"/>
          <w:numId w:val="10"/>
        </w:numPr>
      </w:pPr>
      <w:r>
        <w:t>A área esquerda é predominantemente uniforme para acomodar ícones.</w:t>
      </w:r>
    </w:p>
    <w:p>
      <w:pPr>
        <w:numPr>
          <w:ilvl w:val="0"/>
          <w:numId w:val="10"/>
        </w:numPr>
      </w:pPr>
      <w:r>
        <w:t>A reserva branca preserva o contraste sem recolorir a assinatura para branco.</w:t>
      </w:r>
    </w:p>
    <w:p>
      <w:pPr>
        <w:numPr>
          <w:ilvl w:val="0"/>
          <w:numId w:val="10"/>
        </w:numPr>
      </w:pPr>
      <w:r>
        <w:t>A marca deve ficar visível e afastada da barra de tarefas e de atalhos.</w:t>
      </w:r>
    </w:p>
    <w:p>
      <w:r>
        <w:rPr>
          <w:rFonts w:ascii="Arial" w:hAnsi="Arial"/>
          <w:b/>
          <w:color w:val="04295E"/>
          <w:sz w:val="22"/>
        </w:rPr>
        <w:t xml:space="preserve">Arquivo: </w:t>
      </w:r>
      <w:r>
        <w:t>02_wallpaper_azul.png</w:t>
      </w:r>
    </w:p>
    <w:p>
      <w:r>
        <w:rPr>
          <w:rFonts w:ascii="Arial" w:hAnsi="Arial"/>
          <w:b/>
          <w:color w:val="04295E"/>
          <w:sz w:val="22"/>
        </w:rPr>
        <w:t xml:space="preserve">Entrega: </w:t>
      </w:r>
      <w:r>
        <w:t>PNG de 1672 × 941 px, proporção aproximadamente 16:9. A imagem não inclui ícones nem programas.</w:t>
      </w:r>
    </w:p>
    <w:p>
      <w:r>
        <w:rPr>
          <w:rFonts w:ascii="Arial" w:hAnsi="Arial"/>
          <w:b/>
          <w:color w:val="04295E"/>
          <w:sz w:val="22"/>
        </w:rPr>
        <w:t xml:space="preserve">Aplicação: </w:t>
      </w:r>
      <w:r>
        <w:t>Utilize um ajuste que preserve a proporção. Confira se a assinatura permanece inteira; não estique a imagem.</w:t>
      </w:r>
    </w:p>
    <w:p>
      <w:pPr>
        <w:pStyle w:val="Small"/>
      </w:pPr>
      <w:r>
        <w:t>Proposta gerada com apoio de IA para escolha visual. Antes de padronização institucional, validar o desenho e o acabamento da marca contra o arquivo mestre. Para outros formatos de monitor, recompor sem cortar ou deformar o logotipo.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right"/>
      </w:tabs>
      <w:spacing w:before="40"/>
      <w:pBdr>
        <w:top w:val="single" w:sz="6" w:space="5" w:color="D9DEE7"/>
      </w:pBdr>
    </w:pPr>
    <w:r>
      <w:rPr>
        <w:rFonts w:ascii="Arial" w:hAnsi="Arial"/>
        <w:color w:val="5E5E61"/>
        <w:sz w:val="16"/>
      </w:rPr>
      <w:t>Identidade visual • uso institucional</w:t>
    </w:r>
    <w:r>
      <w:rPr>
        <w:rFonts w:ascii="Arial" w:hAnsi="Arial"/>
        <w:color w:val="5E5E61"/>
        <w:sz w:val="16"/>
      </w:rPr>
      <w:tab/>
    </w:r>
    <w:r>
      <w:rPr>
        <w:rFonts w:ascii="Arial" w:hAnsi="Arial"/>
        <w:b/>
        <w:color w:val="04295E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after="40"/>
      <w:pBdr>
        <w:bottom w:val="single" w:sz="6" w:space="5" w:color="D9DEE7"/>
      </w:pBdr>
    </w:pPr>
    <w:r>
      <w:rPr>
        <w:rFonts w:ascii="Arial" w:hAnsi="Arial"/>
        <w:b/>
        <w:color w:val="5E5E61"/>
        <w:sz w:val="16"/>
      </w:rPr>
      <w:t>UniFUNVIC Soluções  |  Manual de Marca</w:t>
    </w:r>
    <w:r>
      <w:rPr>
        <w:rFonts w:ascii="Arial" w:hAnsi="Arial"/>
        <w:b/>
        <w:color w:val="CA0D28"/>
        <w:sz w:val="16"/>
      </w:rPr>
      <w:tab/>
      <w:t>VERSÃO 1.1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70"/>
        <w:spacing w:after="80" w:line="300" w:lineRule="auto"/>
      </w:pPr>
      <w:rPr>
        <w:color w:val="CA0D28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300" w:lineRule="auto"/>
      </w:pPr>
      <w:rPr>
        <w:color w:val="04295E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Arial" w:hAnsi="Arial"/>
      <w:color w:val="1F25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rial" w:hAnsi="Arial"/>
      <w:b/>
      <w:bCs/>
      <w:color w:val="04295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4295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E5B9E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4295E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20"/>
    </w:pPr>
    <w:rPr>
      <w:rFonts w:asciiTheme="majorHAnsi" w:eastAsiaTheme="majorEastAsia" w:hAnsiTheme="majorHAnsi" w:cstheme="majorBidi" w:ascii="Arial" w:hAnsi="Arial"/>
      <w:i/>
      <w:iCs/>
      <w:color w:val="5E5E61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00"/>
    </w:pPr>
    <w:rPr>
      <w:rFonts w:ascii="Arial" w:hAnsi="Arial"/>
      <w:b w:val="0"/>
      <w:bCs/>
      <w:i/>
      <w:color w:val="5E5E61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/>
    </w:pPr>
    <w:rPr>
      <w:rFonts w:ascii="Arial" w:hAnsi="Arial"/>
      <w:b/>
      <w:i w:val="0"/>
      <w:color w:val="CA0D28"/>
      <w:sz w:val="18"/>
    </w:rPr>
  </w:style>
  <w:style w:type="paragraph" w:customStyle="1" w:styleId="Small">
    <w:name w:val="Small"/>
    <w:pPr>
      <w:spacing w:after="100"/>
    </w:pPr>
    <w:rPr>
      <w:rFonts w:ascii="Arial" w:hAnsi="Arial"/>
      <w:b w:val="0"/>
      <w:i w:val="0"/>
      <w:color w:val="5E5E61"/>
      <w:sz w:val="17"/>
    </w:rPr>
  </w:style>
  <w:style w:type="paragraph" w:customStyle="1" w:styleId="PageTitle">
    <w:name w:val="Page Title"/>
    <w:basedOn w:val="Heading1"/>
    <w:pPr>
      <w:keepNext/>
      <w:spacing w:before="0" w:after="160"/>
      <w:outlineLvl w:val="0"/>
    </w:pPr>
    <w:rPr>
      <w:rFonts w:ascii="Arial" w:hAnsi="Arial"/>
      <w:b/>
      <w:color w:val="04295E"/>
      <w:sz w:val="5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jp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hyperlink" Target="https://www.w3.org/WAI/WCAG22/Understanding/contrast-minimum" TargetMode="External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da Marca UniFUNVIC Soluções — v1.1</dc:title>
  <dc:subject>Diretrizes de identidade visual</dc:subject>
  <dc:creator>UniFUNVIC Soluções</dc:creator>
  <cp:keywords>manual de marca, identidade visual, UniFUNVIC Soluções</cp:keywords>
  <dc:description>Revisão v1.1: acrescentadas propostas de assinaturas de e-mail e papéis de parede; documento anterior preservado.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